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仿宋" w:hAnsi="仿宋" w:eastAsia="仿宋" w:cs="仿宋"/>
          <w:b/>
          <w:color w:val="auto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w w:val="100"/>
          <w:sz w:val="32"/>
          <w:szCs w:val="32"/>
          <w:highlight w:val="none"/>
          <w:lang w:eastAsia="zh-CN"/>
        </w:rPr>
        <w:t>山东钢铁集团有限公司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仿宋" w:hAnsi="仿宋" w:eastAsia="仿宋" w:cs="仿宋"/>
          <w:b/>
          <w:color w:val="auto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w w:val="100"/>
          <w:sz w:val="32"/>
          <w:szCs w:val="32"/>
          <w:highlight w:val="none"/>
          <w:lang w:eastAsia="zh-CN"/>
        </w:rPr>
        <w:t>招标代理机构遴选项目竞争性磋商采购公告</w:t>
      </w:r>
    </w:p>
    <w:p>
      <w:pPr>
        <w:widowControl/>
        <w:shd w:val="clear"/>
        <w:tabs>
          <w:tab w:val="left" w:pos="8880"/>
        </w:tabs>
        <w:spacing w:line="360" w:lineRule="auto"/>
        <w:ind w:right="-195" w:rightChars="-93" w:firstLine="450"/>
        <w:jc w:val="both"/>
        <w:textAlignment w:val="baseline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山东钢铁集团有限公司现对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山东钢铁集团有限公司招标代理机构遴选项目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进行竞争性磋商采购，该项目已具备采购条件，欢迎符合条件的招标代理机构参加该项目磋商。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textAlignment w:val="auto"/>
        <w:rPr>
          <w:rFonts w:hint="eastAsia" w:ascii="仿宋" w:hAnsi="仿宋" w:eastAsia="仿宋" w:cs="仿宋"/>
          <w:b/>
          <w:color w:val="auto"/>
          <w:w w:val="1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w w:val="10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color w:val="auto"/>
          <w:w w:val="100"/>
          <w:sz w:val="28"/>
          <w:szCs w:val="28"/>
          <w:highlight w:val="none"/>
          <w:lang w:eastAsia="zh-CN"/>
        </w:rPr>
        <w:t>项目概况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0"/>
          <w:highlight w:val="none"/>
        </w:rPr>
        <w:t>1.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0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0"/>
          <w:highlight w:val="none"/>
        </w:rPr>
        <w:t>采购编号：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0"/>
          <w:highlight w:val="none"/>
          <w:lang w:val="en-US" w:eastAsia="zh-CN"/>
        </w:rPr>
        <w:t>1.2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0"/>
          <w:highlight w:val="none"/>
        </w:rPr>
        <w:t>采购项目名称：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0"/>
          <w:highlight w:val="none"/>
          <w:lang w:eastAsia="zh-CN"/>
        </w:rPr>
        <w:t>山东钢铁集团有限公司招标代理机构遴选项目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0"/>
          <w:highlight w:val="none"/>
          <w:lang w:val="en-US" w:eastAsia="zh-CN"/>
        </w:rPr>
        <w:t>1.3采购人：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0"/>
          <w:highlight w:val="none"/>
          <w:lang w:eastAsia="zh-CN"/>
        </w:rPr>
        <w:t>山东钢铁集团有限公司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0"/>
          <w:highlight w:val="none"/>
          <w:lang w:val="en-US" w:eastAsia="zh-CN"/>
        </w:rPr>
        <w:t>1.4项目概况：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拟通过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竞争性磋商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方式，遴选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4-6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家综合实力强、专业水平高、服务质量优的招标代理机构，为山钢集团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总部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及其权属公司（包括但不限于全资、控股子公司等）提供招标代理服务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，本次遴选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为采购人与入围单位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签订《招标代理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框架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协议》，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后期根据山东钢铁集团有限公司总部及权属公司业务要求，指派招标代理机构，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最终由采购人总部或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各权属公司作为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委托合同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主体与代理机构签订《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招标代理委托合同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0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0"/>
          <w:highlight w:val="none"/>
          <w:lang w:val="en-US" w:eastAsia="zh-CN"/>
        </w:rPr>
        <w:t xml:space="preserve">1.5 </w:t>
      </w:r>
      <w:r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采购代理业务分配原则：采购人按照业务所属地域，采取定期轮值（按地点随机抽取）方式进行分配。对法定招标项目及重大项目，按照项目进行随机抽取分配。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1.6 采购代理业务服务地点：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济南（含钢城区域）、日照、淄博、青岛等。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0"/>
          <w:highlight w:val="none"/>
          <w:lang w:val="en-US" w:eastAsia="zh-CN"/>
        </w:rPr>
        <w:t>1.7 拟遴选招标代理机构数量：4-6家。</w:t>
      </w:r>
    </w:p>
    <w:p>
      <w:pPr>
        <w:shd w:val="clear"/>
        <w:adjustRightInd w:val="0"/>
        <w:snapToGrid w:val="0"/>
        <w:ind w:firstLine="480" w:firstLineChars="200"/>
        <w:rPr>
          <w:rFonts w:hint="default" w:ascii="仿宋" w:hAnsi="仿宋" w:eastAsia="仿宋" w:cs="仿宋"/>
          <w:color w:val="auto"/>
          <w:kern w:val="0"/>
          <w:sz w:val="24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0"/>
          <w:highlight w:val="none"/>
          <w:lang w:val="en-US" w:eastAsia="zh-CN"/>
        </w:rPr>
        <w:t>1.8 标段划分：本项目不划分标段。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textAlignment w:val="auto"/>
        <w:rPr>
          <w:rFonts w:hint="eastAsia" w:ascii="仿宋" w:hAnsi="仿宋" w:eastAsia="仿宋" w:cs="仿宋"/>
          <w:b/>
          <w:color w:val="auto"/>
          <w:w w:val="1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w w:val="100"/>
          <w:sz w:val="28"/>
          <w:szCs w:val="28"/>
          <w:highlight w:val="none"/>
          <w:lang w:val="en-US" w:eastAsia="zh-CN"/>
        </w:rPr>
        <w:t>2.服务内容及要求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0"/>
          <w:highlight w:val="none"/>
          <w:lang w:val="en-US" w:eastAsia="zh-CN"/>
        </w:rPr>
        <w:t>2.1服务内容：全面履行招标代理全流程职责、采购人需求，详见采购文件。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0"/>
          <w:highlight w:val="none"/>
          <w:lang w:val="en-US" w:eastAsia="zh-CN"/>
        </w:rPr>
        <w:t>2.2项目地点：采购人及权属公司指定地点；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0"/>
          <w:highlight w:val="none"/>
          <w:lang w:val="en-US" w:eastAsia="zh-CN"/>
        </w:rPr>
        <w:t>2.3服务期限：1年（以代理协议签订之日起算）；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0"/>
          <w:highlight w:val="none"/>
          <w:lang w:val="en-US" w:eastAsia="zh-CN"/>
        </w:rPr>
        <w:t>2.4质量标准：符合国家相关法律法规政策规定，满足采购人要求；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textAlignment w:val="auto"/>
        <w:rPr>
          <w:rFonts w:hint="eastAsia" w:ascii="仿宋" w:hAnsi="仿宋" w:eastAsia="仿宋" w:cs="仿宋"/>
          <w:b/>
          <w:color w:val="auto"/>
          <w:w w:val="1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w w:val="100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color w:val="auto"/>
          <w:w w:val="100"/>
          <w:sz w:val="28"/>
          <w:szCs w:val="28"/>
          <w:highlight w:val="none"/>
          <w:lang w:eastAsia="zh-CN"/>
        </w:rPr>
        <w:t>招标代理机构</w:t>
      </w:r>
      <w:r>
        <w:rPr>
          <w:rFonts w:hint="eastAsia" w:ascii="仿宋" w:hAnsi="仿宋" w:eastAsia="仿宋" w:cs="仿宋"/>
          <w:b/>
          <w:color w:val="auto"/>
          <w:w w:val="100"/>
          <w:sz w:val="28"/>
          <w:szCs w:val="28"/>
          <w:highlight w:val="none"/>
          <w:lang w:val="en-US" w:eastAsia="zh-CN"/>
        </w:rPr>
        <w:t>资格</w:t>
      </w:r>
      <w:r>
        <w:rPr>
          <w:rFonts w:hint="eastAsia" w:ascii="仿宋" w:hAnsi="仿宋" w:eastAsia="仿宋" w:cs="仿宋"/>
          <w:b/>
          <w:color w:val="auto"/>
          <w:w w:val="100"/>
          <w:sz w:val="28"/>
          <w:szCs w:val="28"/>
          <w:highlight w:val="none"/>
          <w:lang w:eastAsia="zh-CN"/>
        </w:rPr>
        <w:t>要求</w:t>
      </w:r>
    </w:p>
    <w:p>
      <w:pPr>
        <w:shd w:val="clear"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</w:pPr>
      <w:bookmarkStart w:id="0" w:name="_Hlk534210679"/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3.1资质要求：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招标代理机构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具有独立法人资格，持有营业执照，企业信誉良好，独立承担民事责任的能力，履行合同所必需的人员、设备等方面专业技术能力；</w:t>
      </w:r>
    </w:p>
    <w:p>
      <w:pPr>
        <w:shd w:val="clear"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3.2财务要求：具有良好的财务状况和健全的财务会计制度，提供近3年（2022年-2024年，企业成立不足三年的，提供企业成立至今的）的财务审计报告【含资产负债表、利润（损益）表、现金流量表、所有者权益变动表（若有）及其附注】；</w:t>
      </w:r>
    </w:p>
    <w:p>
      <w:pPr>
        <w:shd w:val="clear"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3.3业绩要求：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招标代理机构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自2022年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月1日以来承揽过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国企、央企、上市公司、事业单位、地方政府机关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招标（采购）代理业绩【须提供委托代理合同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委托单位为国企、央企、上市公司、事业单位、地方政府机关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，时间以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合同签订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时间为准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】；</w:t>
      </w:r>
    </w:p>
    <w:p>
      <w:pPr>
        <w:shd w:val="clear"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3.4人员要求：拥有不少于5名熟悉政府采购法律法规、具备编制采购文件和组织采购活动等相应能力的从业人员（指由本代理机构为其缴纳社会保险费的人员）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提供最近3个月社保证明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 xml:space="preserve">； </w:t>
      </w:r>
    </w:p>
    <w:p>
      <w:pPr>
        <w:shd w:val="clear"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 xml:space="preserve">3.5信誉要求： </w:t>
      </w:r>
    </w:p>
    <w:p>
      <w:pPr>
        <w:shd w:val="clear"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（1）具有良好的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商业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信誉，没有处于被责令停业，投标资格被取消，财产被接管、冻结或破产状态，2022年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日至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投标截止日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以来在经营活动中无不诚信记录和无重大违法记录；</w:t>
      </w:r>
    </w:p>
    <w:p>
      <w:pPr>
        <w:shd w:val="clear"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）“国家企业信用信息公示系统”网站（www.gsxt.gov.cn）中未列入严重违法失信企业名单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“信用中国”网站（www.creditchina.gov.cn）中未列入重大税收违法案件当事人名单、政府招标严重违法失信行为记录名单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“中国执行信息公开网”网站（http://zxgk.court.gov.cn/shixin/）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未列入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失信被执行人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“中国裁判文书网”（http://wenshu.court.gov.cn）查询近三年内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招标代理机构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或其法定代表人没有行贿犯罪行为记录。</w:t>
      </w:r>
    </w:p>
    <w:p>
      <w:pPr>
        <w:shd w:val="clear"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3）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招标代理机构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 xml:space="preserve">不得存在下列情形之一： </w:t>
      </w:r>
    </w:p>
    <w:p>
      <w:pPr>
        <w:shd w:val="clear"/>
        <w:adjustRightInd w:val="0"/>
        <w:snapToGrid w:val="0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1）处于责令停产停业、暂扣或者吊销执照、暂扣或者吊销许可证、吊销资质证书状态；</w:t>
      </w:r>
    </w:p>
    <w:p>
      <w:pPr>
        <w:shd w:val="clear"/>
        <w:adjustRightInd w:val="0"/>
        <w:snapToGrid w:val="0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2）进入清算程序，或被宣告破产，或其他丧失履约能力的情形；</w:t>
      </w:r>
    </w:p>
    <w:p>
      <w:pPr>
        <w:shd w:val="clear"/>
        <w:adjustRightInd w:val="0"/>
        <w:snapToGrid w:val="0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）被山东钢铁集团有限公司及权属单位列入合作异常名录的。</w:t>
      </w:r>
    </w:p>
    <w:p>
      <w:pPr>
        <w:shd w:val="clear"/>
        <w:adjustRightInd w:val="0"/>
        <w:snapToGrid w:val="0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）其他：①与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存在利害关系且可能影响招标活动公正性；②与本招标项目的其他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招标代理机构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为同一个单位负责人；③与本招标项目的其他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招标代理机构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存在控股、管理关系。</w:t>
      </w:r>
    </w:p>
    <w:p>
      <w:pPr>
        <w:shd w:val="clear"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3.3本项目不接受联合体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成交招标代理机构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不允许转包、分包。</w:t>
      </w:r>
    </w:p>
    <w:p>
      <w:pPr>
        <w:shd w:val="clear"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注：本项目实行资格后审，请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招标代理机构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仔细阅读以上资格条件要求并自查，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响应文件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中附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采购文件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要求的所有资格证明材料。资格审查不合格的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招标代理机构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不再进入评审环节。</w:t>
      </w:r>
    </w:p>
    <w:bookmarkEnd w:id="0"/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textAlignment w:val="auto"/>
        <w:rPr>
          <w:rFonts w:hint="eastAsia" w:ascii="仿宋" w:hAnsi="仿宋" w:eastAsia="仿宋" w:cs="仿宋"/>
          <w:b/>
          <w:color w:val="auto"/>
          <w:w w:val="1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w w:val="100"/>
          <w:sz w:val="28"/>
          <w:szCs w:val="28"/>
          <w:highlight w:val="none"/>
          <w:lang w:val="en-US" w:eastAsia="zh-CN"/>
        </w:rPr>
        <w:t xml:space="preserve">4.竞争性磋商采购文件的获取 </w:t>
      </w:r>
    </w:p>
    <w:p>
      <w:pPr>
        <w:shd w:val="clear"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4.1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val="en-US" w:eastAsia="zh-CN"/>
        </w:rPr>
        <w:t>凡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有意参加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本项目磋商采购的代理机构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，请将以下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1）-（7）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资料原件扫描件或加盖公章的复印件（要求图片清晰可见）按顺序制作成PDF文档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拷贝至U盘，同时将响应文件正本壹份，副本伍份按以下第6条要求递交文档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。</w:t>
      </w:r>
    </w:p>
    <w:p>
      <w:pPr>
        <w:shd w:val="clear"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1）附件1：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代理机构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信息登记表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。</w:t>
      </w:r>
    </w:p>
    <w:p>
      <w:pPr>
        <w:shd w:val="clear"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2）附件2：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单位介绍信或经办人的授权委托书；</w:t>
      </w:r>
    </w:p>
    <w:p>
      <w:pPr>
        <w:shd w:val="clear"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3）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营业执照；</w:t>
      </w:r>
    </w:p>
    <w:p>
      <w:pPr>
        <w:shd w:val="clear"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4）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自2022年11月1日（合同额限定）以来承揽过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国企、央企、上市公司、事业单位、地方政府机关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招标（采购）代理业绩【须提供委托代理合同（委托单位为国企、央企、上市公司，时间以合同签订时间为准）】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本项至少提供一份代理业绩合同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；</w:t>
      </w:r>
    </w:p>
    <w:p>
      <w:pPr>
        <w:shd w:val="clear"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5）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拥有不少于5名熟悉政府采购法律法规、具备编制采购文件和组织采购活动等相应能力的从业人员（指由本代理机构为其缴纳社会保险费的人员）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提供人员情况表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至少五人，格式自拟）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最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近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个月社保证明；</w:t>
      </w:r>
    </w:p>
    <w:p>
      <w:pPr>
        <w:shd w:val="clear"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6）信誉要求相关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网站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查询</w:t>
      </w:r>
      <w:r>
        <w:rPr>
          <w:rFonts w:hint="eastAsia" w:ascii="仿宋" w:hAnsi="仿宋" w:eastAsia="仿宋" w:cs="仿宋"/>
          <w:color w:val="auto"/>
          <w:sz w:val="24"/>
          <w:szCs w:val="20"/>
          <w:highlight w:val="none"/>
        </w:rPr>
        <w:t>网页截图（加盖公章，截图须含有备案期间的日期时间）；</w:t>
      </w:r>
    </w:p>
    <w:p>
      <w:pPr>
        <w:shd w:val="clear"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pacing w:val="0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0"/>
          <w:highlight w:val="none"/>
          <w:lang w:val="en-US" w:eastAsia="zh-CN"/>
        </w:rPr>
        <w:t>（7）获取</w:t>
      </w:r>
      <w:r>
        <w:rPr>
          <w:rFonts w:hint="eastAsia" w:ascii="仿宋" w:hAnsi="仿宋" w:eastAsia="仿宋" w:cs="仿宋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标书付款凭证</w:t>
      </w:r>
    </w:p>
    <w:p>
      <w:pPr>
        <w:shd w:val="clear"/>
        <w:snapToGrid w:val="0"/>
        <w:spacing w:line="360" w:lineRule="auto"/>
        <w:ind w:firstLine="480" w:firstLineChars="200"/>
        <w:jc w:val="left"/>
        <w:rPr>
          <w:rFonts w:hint="default" w:ascii="仿宋" w:hAnsi="仿宋" w:eastAsia="仿宋" w:cs="仿宋"/>
          <w:b/>
          <w:bCs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4.2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采购文件每套售价人民币500.00元，售出不退。对公账户电汇或转账办理支付标书费（收款账户信息附后），务必备注项目名称+用途（项目名称可简写），请同时将交费回执（电子版或扫描件）发送至邮箱 S01450@shansteelgroup.com。如需开具发票，请将开票信息一并发送至该邮箱。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textAlignment w:val="auto"/>
        <w:rPr>
          <w:rFonts w:hint="eastAsia" w:ascii="仿宋" w:hAnsi="仿宋" w:eastAsia="仿宋" w:cs="仿宋"/>
          <w:b/>
          <w:color w:val="auto"/>
          <w:w w:val="1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w w:val="100"/>
          <w:sz w:val="28"/>
          <w:szCs w:val="28"/>
          <w:highlight w:val="none"/>
          <w:lang w:val="en-US" w:eastAsia="zh-CN"/>
        </w:rPr>
        <w:t>5.报名截止时间</w:t>
      </w:r>
    </w:p>
    <w:p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96" w:firstLine="484"/>
        <w:jc w:val="both"/>
        <w:textAlignment w:val="baseline"/>
        <w:rPr>
          <w:rFonts w:hint="default" w:ascii="仿宋" w:hAnsi="仿宋" w:eastAsia="仿宋" w:cs="仿宋"/>
          <w:b/>
          <w:bCs/>
          <w:color w:val="auto"/>
          <w:spacing w:val="0"/>
          <w:w w:val="100"/>
          <w:kern w:val="0"/>
          <w:sz w:val="24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kern w:val="0"/>
          <w:sz w:val="24"/>
          <w:szCs w:val="20"/>
          <w:highlight w:val="none"/>
          <w:lang w:val="en-US" w:eastAsia="zh-CN"/>
        </w:rPr>
        <w:t>报名截止时间为：2026年1月12日12</w:t>
      </w:r>
      <w:bookmarkStart w:id="1" w:name="_GoBack"/>
      <w:bookmarkEnd w:id="1"/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kern w:val="0"/>
          <w:sz w:val="24"/>
          <w:szCs w:val="20"/>
          <w:highlight w:val="none"/>
          <w:lang w:val="en-US" w:eastAsia="zh-CN"/>
        </w:rPr>
        <w:t>时00分。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textAlignment w:val="auto"/>
        <w:rPr>
          <w:rFonts w:hint="eastAsia" w:ascii="仿宋" w:hAnsi="仿宋" w:eastAsia="仿宋" w:cs="仿宋"/>
          <w:b/>
          <w:color w:val="auto"/>
          <w:w w:val="1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w w:val="100"/>
          <w:sz w:val="28"/>
          <w:szCs w:val="28"/>
          <w:highlight w:val="none"/>
          <w:lang w:val="en-US" w:eastAsia="zh-CN"/>
        </w:rPr>
        <w:t>6.响应文件的递交</w:t>
      </w:r>
    </w:p>
    <w:p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96" w:firstLine="484"/>
        <w:jc w:val="both"/>
        <w:textAlignment w:val="baseline"/>
        <w:rPr>
          <w:rFonts w:hint="eastAsia" w:ascii="仿宋" w:hAnsi="仿宋" w:eastAsia="仿宋" w:cs="仿宋"/>
          <w:b/>
          <w:bCs/>
          <w:color w:val="auto"/>
          <w:spacing w:val="0"/>
          <w:w w:val="10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kern w:val="0"/>
          <w:sz w:val="24"/>
          <w:szCs w:val="20"/>
          <w:highlight w:val="none"/>
          <w:lang w:val="en-US" w:eastAsia="zh-CN"/>
        </w:rPr>
        <w:t>6.1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kern w:val="0"/>
          <w:sz w:val="24"/>
          <w:szCs w:val="20"/>
          <w:highlight w:val="none"/>
        </w:rPr>
        <w:t>响应文件递交时间、地点：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kern w:val="0"/>
          <w:sz w:val="24"/>
          <w:szCs w:val="20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kern w:val="0"/>
          <w:sz w:val="24"/>
          <w:szCs w:val="2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kern w:val="0"/>
          <w:sz w:val="24"/>
          <w:szCs w:val="20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kern w:val="0"/>
          <w:sz w:val="24"/>
          <w:szCs w:val="20"/>
          <w:highlight w:val="none"/>
          <w:lang w:val="en-US" w:eastAsia="zh-CN"/>
        </w:rPr>
        <w:t>1月19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kern w:val="0"/>
          <w:sz w:val="24"/>
          <w:szCs w:val="20"/>
          <w:highlight w:val="none"/>
        </w:rPr>
        <w:t>日09时00分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kern w:val="0"/>
          <w:sz w:val="24"/>
          <w:szCs w:val="2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kern w:val="0"/>
          <w:sz w:val="24"/>
          <w:szCs w:val="20"/>
          <w:highlight w:val="none"/>
        </w:rPr>
        <w:t>济南市舜泰广场4号楼山钢办公楼4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kern w:val="0"/>
          <w:sz w:val="24"/>
          <w:szCs w:val="20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kern w:val="0"/>
          <w:sz w:val="24"/>
          <w:szCs w:val="20"/>
          <w:highlight w:val="none"/>
        </w:rPr>
        <w:t>会议室（如有变动另行通知）。</w:t>
      </w:r>
    </w:p>
    <w:p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96" w:firstLine="484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24"/>
          <w:szCs w:val="20"/>
          <w:highlight w:val="none"/>
          <w:lang w:val="en-US" w:eastAsia="zh-CN"/>
        </w:rPr>
        <w:t>6.2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24"/>
          <w:szCs w:val="20"/>
          <w:highlight w:val="none"/>
        </w:rPr>
        <w:t>逾期送达、未送达指定地点的响应文件，将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24"/>
          <w:szCs w:val="20"/>
          <w:highlight w:val="none"/>
          <w:lang w:eastAsia="zh-CN"/>
        </w:rPr>
        <w:t>有权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24"/>
          <w:szCs w:val="20"/>
          <w:highlight w:val="none"/>
        </w:rPr>
        <w:t>拒绝接收。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textAlignment w:val="auto"/>
        <w:rPr>
          <w:rFonts w:hint="eastAsia" w:ascii="仿宋" w:hAnsi="仿宋" w:eastAsia="仿宋" w:cs="仿宋"/>
          <w:b/>
          <w:color w:val="auto"/>
          <w:w w:val="1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w w:val="100"/>
          <w:sz w:val="28"/>
          <w:szCs w:val="28"/>
          <w:highlight w:val="none"/>
          <w:lang w:val="en-US" w:eastAsia="zh-CN"/>
        </w:rPr>
        <w:t>7.磋商时间和地点</w:t>
      </w:r>
    </w:p>
    <w:p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96" w:firstLine="484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kern w:val="0"/>
          <w:sz w:val="24"/>
          <w:szCs w:val="2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kern w:val="0"/>
          <w:sz w:val="24"/>
          <w:szCs w:val="20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kern w:val="0"/>
          <w:sz w:val="24"/>
          <w:szCs w:val="2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kern w:val="0"/>
          <w:sz w:val="24"/>
          <w:szCs w:val="20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kern w:val="0"/>
          <w:sz w:val="24"/>
          <w:szCs w:val="20"/>
          <w:highlight w:val="none"/>
          <w:lang w:val="en-US" w:eastAsia="zh-CN"/>
        </w:rPr>
        <w:t>1月19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kern w:val="0"/>
          <w:sz w:val="24"/>
          <w:szCs w:val="20"/>
          <w:highlight w:val="none"/>
        </w:rPr>
        <w:t>日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24"/>
          <w:szCs w:val="20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24"/>
          <w:szCs w:val="20"/>
          <w:highlight w:val="none"/>
        </w:rPr>
        <w:t>时00分,本次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24"/>
          <w:szCs w:val="20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24"/>
          <w:szCs w:val="20"/>
          <w:highlight w:val="none"/>
        </w:rPr>
        <w:t>采用现场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24"/>
          <w:szCs w:val="20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24"/>
          <w:szCs w:val="20"/>
          <w:highlight w:val="none"/>
        </w:rPr>
        <w:t>，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24"/>
          <w:szCs w:val="20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24"/>
          <w:szCs w:val="20"/>
          <w:highlight w:val="none"/>
        </w:rPr>
        <w:t>会议地点为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24"/>
          <w:szCs w:val="20"/>
          <w:highlight w:val="none"/>
        </w:rPr>
        <w:t>济南市舜泰广场4号楼山钢办公楼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24"/>
          <w:szCs w:val="20"/>
          <w:highlight w:val="none"/>
          <w:lang w:val="en-US" w:eastAsia="zh-CN"/>
        </w:rPr>
        <w:t>412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kern w:val="0"/>
          <w:sz w:val="24"/>
          <w:szCs w:val="20"/>
          <w:highlight w:val="none"/>
        </w:rPr>
        <w:t>会议室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24"/>
          <w:szCs w:val="20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textAlignment w:val="auto"/>
        <w:rPr>
          <w:rFonts w:hint="eastAsia" w:ascii="仿宋" w:hAnsi="仿宋" w:eastAsia="仿宋" w:cs="仿宋"/>
          <w:b/>
          <w:color w:val="auto"/>
          <w:w w:val="1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w w:val="100"/>
          <w:sz w:val="28"/>
          <w:szCs w:val="28"/>
          <w:highlight w:val="none"/>
          <w:lang w:val="en-US" w:eastAsia="zh-CN"/>
        </w:rPr>
        <w:t>8.发布媒介</w:t>
      </w:r>
    </w:p>
    <w:p>
      <w:pPr>
        <w:shd w:val="clear"/>
        <w:spacing w:line="360" w:lineRule="auto"/>
        <w:ind w:left="0" w:firstLine="720" w:firstLineChars="300"/>
        <w:rPr>
          <w:rFonts w:hint="eastAsia" w:ascii="仿宋" w:hAnsi="仿宋" w:eastAsia="仿宋" w:cs="仿宋"/>
          <w:color w:val="auto"/>
          <w:spacing w:val="0"/>
          <w:w w:val="100"/>
          <w:kern w:val="0"/>
          <w:sz w:val="24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24"/>
          <w:szCs w:val="20"/>
          <w:highlight w:val="none"/>
        </w:rPr>
        <w:t>本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24"/>
          <w:szCs w:val="20"/>
          <w:highlight w:val="none"/>
          <w:lang w:eastAsia="zh-CN"/>
        </w:rPr>
        <w:t>磋商邀请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24"/>
          <w:szCs w:val="20"/>
          <w:highlight w:val="none"/>
          <w:lang w:val="en-US" w:eastAsia="zh-CN"/>
        </w:rPr>
        <w:t>公告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24"/>
          <w:szCs w:val="20"/>
          <w:highlight w:val="none"/>
        </w:rPr>
        <w:t>在山东钢铁集团有限公司招标采购与拍卖管理信息平台（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24"/>
          <w:szCs w:val="20"/>
          <w:highlight w:val="none"/>
        </w:rPr>
        <w:fldChar w:fldCharType="begin"/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24"/>
          <w:szCs w:val="20"/>
          <w:highlight w:val="non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24"/>
          <w:szCs w:val="20"/>
          <w:highlight w:val="none"/>
        </w:rPr>
        <w:fldChar w:fldCharType="separate"/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24"/>
          <w:szCs w:val="20"/>
          <w:highlight w:val="none"/>
        </w:rPr>
        <w:t>http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24"/>
          <w:szCs w:val="20"/>
          <w:highlight w:val="none"/>
          <w:lang w:val="en-US" w:eastAsia="zh-CN"/>
        </w:rPr>
        <w:t>s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24"/>
          <w:szCs w:val="20"/>
          <w:highlight w:val="none"/>
        </w:rPr>
        <w:t>://bams.shansteelgroup.com</w:t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24"/>
          <w:szCs w:val="20"/>
          <w:highlight w:val="none"/>
        </w:rPr>
        <w:fldChar w:fldCharType="end"/>
      </w:r>
      <w:r>
        <w:rPr>
          <w:rFonts w:hint="eastAsia" w:ascii="仿宋" w:hAnsi="仿宋" w:eastAsia="仿宋" w:cs="仿宋"/>
          <w:color w:val="auto"/>
          <w:spacing w:val="0"/>
          <w:w w:val="100"/>
          <w:kern w:val="0"/>
          <w:sz w:val="24"/>
          <w:szCs w:val="20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上发布。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textAlignment w:val="auto"/>
        <w:rPr>
          <w:rFonts w:hint="eastAsia" w:ascii="仿宋" w:hAnsi="仿宋" w:eastAsia="仿宋" w:cs="仿宋"/>
          <w:b/>
          <w:color w:val="auto"/>
          <w:w w:val="1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w w:val="100"/>
          <w:sz w:val="28"/>
          <w:szCs w:val="28"/>
          <w:highlight w:val="none"/>
          <w:lang w:val="en-US" w:eastAsia="zh-CN"/>
        </w:rPr>
        <w:t>9.联系方式及收款账户信息</w:t>
      </w:r>
    </w:p>
    <w:p>
      <w:pPr>
        <w:widowControl/>
        <w:shd w:val="clear"/>
        <w:tabs>
          <w:tab w:val="left" w:pos="8880"/>
        </w:tabs>
        <w:spacing w:line="360" w:lineRule="auto"/>
        <w:ind w:right="-195" w:rightChars="-93" w:firstLine="450"/>
        <w:jc w:val="both"/>
        <w:textAlignment w:val="baseline"/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9.1</w:t>
      </w: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采购人：山东钢铁集团有限公司</w:t>
      </w:r>
    </w:p>
    <w:p>
      <w:pPr>
        <w:widowControl/>
        <w:shd w:val="clear"/>
        <w:tabs>
          <w:tab w:val="left" w:pos="8880"/>
        </w:tabs>
        <w:spacing w:line="360" w:lineRule="auto"/>
        <w:ind w:right="-195" w:rightChars="-93" w:firstLine="757" w:firstLineChars="314"/>
        <w:jc w:val="both"/>
        <w:textAlignment w:val="baseline"/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地  址：济南市舜泰广场4号楼</w:t>
      </w:r>
    </w:p>
    <w:p>
      <w:pPr>
        <w:widowControl/>
        <w:shd w:val="clear"/>
        <w:tabs>
          <w:tab w:val="left" w:pos="8880"/>
        </w:tabs>
        <w:spacing w:line="360" w:lineRule="auto"/>
        <w:ind w:right="-195" w:rightChars="-93" w:firstLine="757" w:firstLineChars="314"/>
        <w:jc w:val="both"/>
        <w:textAlignment w:val="baseline"/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联系人：宋先生</w:t>
      </w: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ab/>
      </w:r>
    </w:p>
    <w:p>
      <w:pPr>
        <w:widowControl/>
        <w:shd w:val="clear"/>
        <w:tabs>
          <w:tab w:val="left" w:pos="8880"/>
        </w:tabs>
        <w:spacing w:line="360" w:lineRule="auto"/>
        <w:ind w:right="-195" w:rightChars="-93" w:firstLine="757" w:firstLineChars="314"/>
        <w:jc w:val="both"/>
        <w:textAlignment w:val="baseline"/>
        <w:rPr>
          <w:rFonts w:hint="default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联系方式：0531-67601217</w:t>
      </w:r>
    </w:p>
    <w:p>
      <w:pPr>
        <w:widowControl/>
        <w:shd w:val="clear"/>
        <w:tabs>
          <w:tab w:val="left" w:pos="8880"/>
        </w:tabs>
        <w:spacing w:line="360" w:lineRule="auto"/>
        <w:ind w:right="-195" w:rightChars="-93" w:firstLine="450"/>
        <w:jc w:val="both"/>
        <w:textAlignment w:val="baseline"/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9.2 </w:t>
      </w: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标书费账户信息：</w:t>
      </w:r>
    </w:p>
    <w:p>
      <w:pPr>
        <w:widowControl/>
        <w:shd w:val="clear"/>
        <w:tabs>
          <w:tab w:val="left" w:pos="8880"/>
        </w:tabs>
        <w:spacing w:line="360" w:lineRule="auto"/>
        <w:ind w:right="-195" w:rightChars="-93" w:firstLine="757" w:firstLineChars="314"/>
        <w:jc w:val="both"/>
        <w:textAlignment w:val="baseline"/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账户名称：山东钢铁集团有限公司</w:t>
      </w:r>
    </w:p>
    <w:p>
      <w:pPr>
        <w:widowControl/>
        <w:shd w:val="clear"/>
        <w:tabs>
          <w:tab w:val="left" w:pos="8880"/>
        </w:tabs>
        <w:spacing w:line="360" w:lineRule="auto"/>
        <w:ind w:right="-195" w:rightChars="-93" w:firstLine="757" w:firstLineChars="314"/>
        <w:jc w:val="both"/>
        <w:textAlignment w:val="baseline"/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开户银行：中国工商银行济南山钢支行</w:t>
      </w:r>
    </w:p>
    <w:p>
      <w:pPr>
        <w:widowControl/>
        <w:shd w:val="clear"/>
        <w:tabs>
          <w:tab w:val="left" w:pos="8880"/>
        </w:tabs>
        <w:spacing w:line="360" w:lineRule="auto"/>
        <w:ind w:right="-195" w:rightChars="-93" w:firstLine="757" w:firstLineChars="314"/>
        <w:jc w:val="both"/>
        <w:textAlignment w:val="baseline"/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银行账户：1602156809201888896</w:t>
      </w:r>
    </w:p>
    <w:p>
      <w:pPr>
        <w:ind w:firstLine="720" w:firstLineChars="300"/>
        <w:jc w:val="righ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ind w:firstLine="720" w:firstLineChars="300"/>
        <w:jc w:val="righ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ind w:firstLine="720" w:firstLineChars="300"/>
        <w:jc w:val="right"/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发布时间：2026年1月6日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86AAF"/>
    <w:rsid w:val="0126606F"/>
    <w:rsid w:val="015A25D2"/>
    <w:rsid w:val="02BB2853"/>
    <w:rsid w:val="02C5662A"/>
    <w:rsid w:val="06CA20FA"/>
    <w:rsid w:val="06D6454A"/>
    <w:rsid w:val="08576EDC"/>
    <w:rsid w:val="0C63282C"/>
    <w:rsid w:val="0C7B2621"/>
    <w:rsid w:val="0D9E224F"/>
    <w:rsid w:val="0DE366AB"/>
    <w:rsid w:val="105E345E"/>
    <w:rsid w:val="107C6244"/>
    <w:rsid w:val="10A02545"/>
    <w:rsid w:val="10D16FFF"/>
    <w:rsid w:val="11524EEA"/>
    <w:rsid w:val="118A65D9"/>
    <w:rsid w:val="13E26A24"/>
    <w:rsid w:val="14387DCF"/>
    <w:rsid w:val="14762D10"/>
    <w:rsid w:val="166B2903"/>
    <w:rsid w:val="16A60C8F"/>
    <w:rsid w:val="184501C0"/>
    <w:rsid w:val="18C31953"/>
    <w:rsid w:val="1A115FE7"/>
    <w:rsid w:val="1A2C4BB4"/>
    <w:rsid w:val="1AAD7FAD"/>
    <w:rsid w:val="1B3842A7"/>
    <w:rsid w:val="1C876659"/>
    <w:rsid w:val="1CE90E70"/>
    <w:rsid w:val="1CFA46ED"/>
    <w:rsid w:val="1E155312"/>
    <w:rsid w:val="1F491772"/>
    <w:rsid w:val="1F763786"/>
    <w:rsid w:val="1FB34B07"/>
    <w:rsid w:val="22B34793"/>
    <w:rsid w:val="26981910"/>
    <w:rsid w:val="278B6A46"/>
    <w:rsid w:val="27956DDC"/>
    <w:rsid w:val="284D2B20"/>
    <w:rsid w:val="286973D5"/>
    <w:rsid w:val="28D96213"/>
    <w:rsid w:val="29CF2D8E"/>
    <w:rsid w:val="2CDD3D50"/>
    <w:rsid w:val="2D1940B2"/>
    <w:rsid w:val="2F292E5E"/>
    <w:rsid w:val="300C2DD9"/>
    <w:rsid w:val="30160937"/>
    <w:rsid w:val="30850CFA"/>
    <w:rsid w:val="315E615C"/>
    <w:rsid w:val="3180137E"/>
    <w:rsid w:val="320E23DD"/>
    <w:rsid w:val="33D6713C"/>
    <w:rsid w:val="348C013F"/>
    <w:rsid w:val="352C7EED"/>
    <w:rsid w:val="35B673B2"/>
    <w:rsid w:val="36790C02"/>
    <w:rsid w:val="378975D5"/>
    <w:rsid w:val="396F5915"/>
    <w:rsid w:val="397E6158"/>
    <w:rsid w:val="3A933274"/>
    <w:rsid w:val="3ABE078C"/>
    <w:rsid w:val="3C2F6CEE"/>
    <w:rsid w:val="3EA86AAF"/>
    <w:rsid w:val="41075F98"/>
    <w:rsid w:val="4110430B"/>
    <w:rsid w:val="42A45859"/>
    <w:rsid w:val="42D63EEA"/>
    <w:rsid w:val="4403242A"/>
    <w:rsid w:val="440F28AD"/>
    <w:rsid w:val="44B01423"/>
    <w:rsid w:val="44CB2277"/>
    <w:rsid w:val="46463D75"/>
    <w:rsid w:val="46C53EFA"/>
    <w:rsid w:val="479C299C"/>
    <w:rsid w:val="48DF7FF2"/>
    <w:rsid w:val="492D65D4"/>
    <w:rsid w:val="4A261772"/>
    <w:rsid w:val="4C414E04"/>
    <w:rsid w:val="4DB65C1D"/>
    <w:rsid w:val="4DF65AEF"/>
    <w:rsid w:val="4DF8202F"/>
    <w:rsid w:val="4EED5D5B"/>
    <w:rsid w:val="4F6C20B9"/>
    <w:rsid w:val="4FE03A5F"/>
    <w:rsid w:val="4FEF01F1"/>
    <w:rsid w:val="506E15F6"/>
    <w:rsid w:val="516B1A8B"/>
    <w:rsid w:val="51BF48A5"/>
    <w:rsid w:val="53530A33"/>
    <w:rsid w:val="53735A32"/>
    <w:rsid w:val="54231060"/>
    <w:rsid w:val="546C67A8"/>
    <w:rsid w:val="56320785"/>
    <w:rsid w:val="56760E35"/>
    <w:rsid w:val="597A5890"/>
    <w:rsid w:val="59E82873"/>
    <w:rsid w:val="5AC22DBF"/>
    <w:rsid w:val="5B4E4449"/>
    <w:rsid w:val="5D4E3624"/>
    <w:rsid w:val="5D854A98"/>
    <w:rsid w:val="5D880E59"/>
    <w:rsid w:val="606B58B1"/>
    <w:rsid w:val="61560135"/>
    <w:rsid w:val="61F4120B"/>
    <w:rsid w:val="63EE11C2"/>
    <w:rsid w:val="64B81BC5"/>
    <w:rsid w:val="660975DB"/>
    <w:rsid w:val="66D33F3D"/>
    <w:rsid w:val="66F738BF"/>
    <w:rsid w:val="67210439"/>
    <w:rsid w:val="68A61109"/>
    <w:rsid w:val="69E8114E"/>
    <w:rsid w:val="6B996114"/>
    <w:rsid w:val="6BBC3D9C"/>
    <w:rsid w:val="6BF1327D"/>
    <w:rsid w:val="6DF92CFA"/>
    <w:rsid w:val="6DFB132B"/>
    <w:rsid w:val="6E2050B4"/>
    <w:rsid w:val="6ED34D06"/>
    <w:rsid w:val="6EE166DD"/>
    <w:rsid w:val="70400A67"/>
    <w:rsid w:val="70DA6B68"/>
    <w:rsid w:val="7139650A"/>
    <w:rsid w:val="75557962"/>
    <w:rsid w:val="7579625A"/>
    <w:rsid w:val="75BA00BF"/>
    <w:rsid w:val="76DA53CB"/>
    <w:rsid w:val="77144328"/>
    <w:rsid w:val="77892C6A"/>
    <w:rsid w:val="77A370AF"/>
    <w:rsid w:val="78DD2AFD"/>
    <w:rsid w:val="7B902F31"/>
    <w:rsid w:val="7CB143A4"/>
    <w:rsid w:val="7D7F03B4"/>
    <w:rsid w:val="7E981E90"/>
    <w:rsid w:val="7F1B66D4"/>
    <w:rsid w:val="7FB273D5"/>
    <w:rsid w:val="7FFE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lainText"/>
    <w:basedOn w:val="1"/>
    <w:qFormat/>
    <w:uiPriority w:val="99"/>
    <w:pPr>
      <w:widowControl/>
      <w:spacing w:line="240" w:lineRule="auto"/>
      <w:jc w:val="both"/>
      <w:textAlignment w:val="baseline"/>
    </w:pPr>
    <w:rPr>
      <w:rFonts w:ascii="宋体" w:hAnsi="Courier New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2349</Words>
  <Characters>2629</Characters>
  <Lines>0</Lines>
  <Paragraphs>0</Paragraphs>
  <TotalTime>15</TotalTime>
  <ScaleCrop>false</ScaleCrop>
  <LinksUpToDate>false</LinksUpToDate>
  <CharactersWithSpaces>2644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2026-01-06T11:11:00Z</dcterms:created>
  <dc:creator>Administrator</dc:creator>
  <cp:lastModifiedBy>Administrator</cp:lastModifiedBy>
  <dcterms:modified xsi:type="dcterms:W3CDTF">2026-01-07T06:56:39Z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598530E45E454014A6D484A3F72F2E03_13</vt:lpwstr>
  </property>
  <property fmtid="{D5CDD505-2E9C-101B-9397-08002B2CF9AE}" pid="4" name="KSOTemplateDocerSaveRecord">
    <vt:lpwstr>eyJoZGlkIjoiMmUzMGJmMDkxYzNiZDYyNjA4MDkyMmViMWQzYWM2OTEiLCJ1c2VySWQiOiI2OTQ2MDk3MDEifQ==</vt:lpwstr>
  </property>
</Properties>
</file>